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291" w:rsidRPr="00F6746F" w:rsidRDefault="001E6291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7022" w:rsidRPr="00F6746F" w:rsidRDefault="00B37022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022" w:rsidRPr="00F6746F" w:rsidRDefault="00B37022" w:rsidP="00F674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BESZÁMOLÓ</w:t>
      </w:r>
    </w:p>
    <w:p w:rsidR="00B37022" w:rsidRPr="00F6746F" w:rsidRDefault="00B37022" w:rsidP="00F674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Szalai Flóra és Szentgáli-Tóth Boldizsár 2017. szeptemberi franciaországi tanulmányútjáról</w:t>
      </w:r>
    </w:p>
    <w:p w:rsidR="00B37022" w:rsidRPr="00F6746F" w:rsidRDefault="00B37022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022" w:rsidRPr="00F6746F" w:rsidRDefault="00B37022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 xml:space="preserve">2017. szeptember 5. és 9. között az </w:t>
      </w:r>
      <w:r w:rsidRPr="00D162A2">
        <w:rPr>
          <w:rFonts w:ascii="Times New Roman" w:hAnsi="Times New Roman" w:cs="Times New Roman"/>
          <w:i/>
          <w:sz w:val="24"/>
          <w:szCs w:val="24"/>
        </w:rPr>
        <w:t>International Commission for the History of Representative and Parliamentary Institutions</w:t>
      </w:r>
      <w:r w:rsidRPr="00F6746F">
        <w:rPr>
          <w:rFonts w:ascii="Times New Roman" w:hAnsi="Times New Roman" w:cs="Times New Roman"/>
          <w:sz w:val="24"/>
          <w:szCs w:val="24"/>
        </w:rPr>
        <w:t xml:space="preserve"> elnevezésű nemze</w:t>
      </w:r>
      <w:r w:rsidR="00066876" w:rsidRPr="00F6746F">
        <w:rPr>
          <w:rFonts w:ascii="Times New Roman" w:hAnsi="Times New Roman" w:cs="Times New Roman"/>
          <w:sz w:val="24"/>
          <w:szCs w:val="24"/>
        </w:rPr>
        <w:t>tközi szervezet éves közgyűlésére</w:t>
      </w:r>
      <w:r w:rsidRPr="00F6746F">
        <w:rPr>
          <w:rFonts w:ascii="Times New Roman" w:hAnsi="Times New Roman" w:cs="Times New Roman"/>
          <w:sz w:val="24"/>
          <w:szCs w:val="24"/>
        </w:rPr>
        <w:t>, illetve az azzal egy</w:t>
      </w:r>
      <w:r w:rsidR="00066876" w:rsidRPr="00F6746F">
        <w:rPr>
          <w:rFonts w:ascii="Times New Roman" w:hAnsi="Times New Roman" w:cs="Times New Roman"/>
          <w:sz w:val="24"/>
          <w:szCs w:val="24"/>
        </w:rPr>
        <w:t>bekötött tudományos konferenciára utaztunk Franciaországba</w:t>
      </w:r>
      <w:r w:rsidRPr="00F6746F">
        <w:rPr>
          <w:rFonts w:ascii="Times New Roman" w:hAnsi="Times New Roman" w:cs="Times New Roman"/>
          <w:sz w:val="24"/>
          <w:szCs w:val="24"/>
        </w:rPr>
        <w:t>. A szakmai fórum plenáris- és szekció üléseire Orleansban került sor, majd Párizsba utaztunk, ahol az egyesület éves közgyűlésén vettünk részt a Lux</w:t>
      </w:r>
      <w:r w:rsidR="008617D8">
        <w:rPr>
          <w:rFonts w:ascii="Times New Roman" w:hAnsi="Times New Roman" w:cs="Times New Roman"/>
          <w:sz w:val="24"/>
          <w:szCs w:val="24"/>
        </w:rPr>
        <w:t xml:space="preserve">emburg </w:t>
      </w:r>
      <w:r w:rsidRPr="00F6746F">
        <w:rPr>
          <w:rFonts w:ascii="Times New Roman" w:hAnsi="Times New Roman" w:cs="Times New Roman"/>
          <w:sz w:val="24"/>
          <w:szCs w:val="24"/>
        </w:rPr>
        <w:t>Palotában.</w:t>
      </w:r>
    </w:p>
    <w:p w:rsidR="00B37022" w:rsidRPr="00F6746F" w:rsidRDefault="00B37022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A konfer</w:t>
      </w:r>
      <w:r w:rsidR="00F6746F">
        <w:rPr>
          <w:rFonts w:ascii="Times New Roman" w:hAnsi="Times New Roman" w:cs="Times New Roman"/>
          <w:sz w:val="24"/>
          <w:szCs w:val="24"/>
        </w:rPr>
        <w:t>encián előadást is tartottunk „</w:t>
      </w:r>
      <w:r w:rsidR="00F6746F" w:rsidRPr="00D162A2">
        <w:rPr>
          <w:rFonts w:ascii="Times New Roman" w:hAnsi="Times New Roman" w:cs="Times New Roman"/>
          <w:i/>
          <w:sz w:val="24"/>
          <w:szCs w:val="24"/>
        </w:rPr>
        <w:t>A</w:t>
      </w:r>
      <w:r w:rsidRPr="00D162A2">
        <w:rPr>
          <w:rFonts w:ascii="Times New Roman" w:hAnsi="Times New Roman" w:cs="Times New Roman"/>
          <w:i/>
          <w:sz w:val="24"/>
          <w:szCs w:val="24"/>
        </w:rPr>
        <w:t xml:space="preserve"> new approach to parliamentary publicity</w:t>
      </w:r>
      <w:r w:rsidRPr="00F6746F">
        <w:rPr>
          <w:rFonts w:ascii="Times New Roman" w:hAnsi="Times New Roman" w:cs="Times New Roman"/>
          <w:sz w:val="24"/>
          <w:szCs w:val="24"/>
        </w:rPr>
        <w:t>”</w:t>
      </w:r>
      <w:r w:rsidR="002B2EE7" w:rsidRPr="00F6746F">
        <w:rPr>
          <w:rFonts w:ascii="Times New Roman" w:hAnsi="Times New Roman" w:cs="Times New Roman"/>
          <w:sz w:val="24"/>
          <w:szCs w:val="24"/>
        </w:rPr>
        <w:t xml:space="preserve"> címmel. Előadásunk </w:t>
      </w:r>
      <w:r w:rsidRPr="00F6746F">
        <w:rPr>
          <w:rFonts w:ascii="Times New Roman" w:hAnsi="Times New Roman" w:cs="Times New Roman"/>
          <w:sz w:val="24"/>
          <w:szCs w:val="24"/>
        </w:rPr>
        <w:t>alapj</w:t>
      </w:r>
      <w:r w:rsidR="002B2EE7" w:rsidRPr="00F6746F">
        <w:rPr>
          <w:rFonts w:ascii="Times New Roman" w:hAnsi="Times New Roman" w:cs="Times New Roman"/>
          <w:sz w:val="24"/>
          <w:szCs w:val="24"/>
        </w:rPr>
        <w:t xml:space="preserve">án tanulmányt is készítettünk, melynek magyar nyelvű változata a </w:t>
      </w:r>
      <w:r w:rsidR="002B2EE7" w:rsidRPr="00D162A2">
        <w:rPr>
          <w:rFonts w:ascii="Times New Roman" w:hAnsi="Times New Roman" w:cs="Times New Roman"/>
          <w:i/>
          <w:sz w:val="24"/>
          <w:szCs w:val="24"/>
        </w:rPr>
        <w:t>Közjogi Szemlében</w:t>
      </w:r>
      <w:r w:rsidR="002B2EE7" w:rsidRPr="00F6746F">
        <w:rPr>
          <w:rFonts w:ascii="Times New Roman" w:hAnsi="Times New Roman" w:cs="Times New Roman"/>
          <w:sz w:val="24"/>
          <w:szCs w:val="24"/>
        </w:rPr>
        <w:t>, angolra fordított sz</w:t>
      </w:r>
      <w:r w:rsidR="00A75A07" w:rsidRPr="00F6746F">
        <w:rPr>
          <w:rFonts w:ascii="Times New Roman" w:hAnsi="Times New Roman" w:cs="Times New Roman"/>
          <w:sz w:val="24"/>
          <w:szCs w:val="24"/>
        </w:rPr>
        <w:t xml:space="preserve">övege pedig az </w:t>
      </w:r>
      <w:r w:rsidR="00A75A07" w:rsidRPr="00D162A2">
        <w:rPr>
          <w:rFonts w:ascii="Times New Roman" w:hAnsi="Times New Roman" w:cs="Times New Roman"/>
          <w:i/>
          <w:sz w:val="24"/>
          <w:szCs w:val="24"/>
        </w:rPr>
        <w:t>ELTE Law Journal</w:t>
      </w:r>
      <w:r w:rsidR="002B2EE7" w:rsidRPr="00D162A2">
        <w:rPr>
          <w:rFonts w:ascii="Times New Roman" w:hAnsi="Times New Roman" w:cs="Times New Roman"/>
          <w:i/>
          <w:sz w:val="24"/>
          <w:szCs w:val="24"/>
        </w:rPr>
        <w:t>ban</w:t>
      </w:r>
      <w:r w:rsidR="002B2EE7" w:rsidRPr="00F6746F">
        <w:rPr>
          <w:rFonts w:ascii="Times New Roman" w:hAnsi="Times New Roman" w:cs="Times New Roman"/>
          <w:sz w:val="24"/>
          <w:szCs w:val="24"/>
        </w:rPr>
        <w:t xml:space="preserve"> fog megjelenni hamarosan.</w:t>
      </w:r>
    </w:p>
    <w:p w:rsidR="00A75A07" w:rsidRPr="00F6746F" w:rsidRDefault="00A75A07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Tanulmányunkban főként azt vizsgáltuk, felállítható-e egy európai standard a parlamenti szólásszabadság, illetve a parlamenti ülésekről történő tudósítások vonatkozásában. Kialakítottuk a parlamenti nyilvánosság egy újszerű értelmezését, mely e fogalom külső és belső aspektusainak határozott elkülönítésén alapul. A belső aspektus a parlamenti képviselők külső befolyástól mentes vélemén</w:t>
      </w:r>
      <w:r w:rsidR="00F6746F">
        <w:rPr>
          <w:rFonts w:ascii="Times New Roman" w:hAnsi="Times New Roman" w:cs="Times New Roman"/>
          <w:sz w:val="24"/>
          <w:szCs w:val="24"/>
        </w:rPr>
        <w:t xml:space="preserve">y </w:t>
      </w:r>
      <w:r w:rsidRPr="00F6746F">
        <w:rPr>
          <w:rFonts w:ascii="Times New Roman" w:hAnsi="Times New Roman" w:cs="Times New Roman"/>
          <w:sz w:val="24"/>
          <w:szCs w:val="24"/>
        </w:rPr>
        <w:t>nyilvánítását, a parlamenti viták szabadságát biztosító eszközöket foglalja magában. A külső aspektus súlypontja a parlamenti ülések nyilvánossága: az a feltételrendszer, melynek mentén a szélesebb politikai közösség értesülhet a parlamentben zajló</w:t>
      </w:r>
      <w:r w:rsidR="00066876" w:rsidRPr="00F6746F">
        <w:rPr>
          <w:rFonts w:ascii="Times New Roman" w:hAnsi="Times New Roman" w:cs="Times New Roman"/>
          <w:sz w:val="24"/>
          <w:szCs w:val="24"/>
        </w:rPr>
        <w:t xml:space="preserve"> eseményekről, illetve amely sz</w:t>
      </w:r>
      <w:r w:rsidRPr="00F6746F">
        <w:rPr>
          <w:rFonts w:ascii="Times New Roman" w:hAnsi="Times New Roman" w:cs="Times New Roman"/>
          <w:sz w:val="24"/>
          <w:szCs w:val="24"/>
        </w:rPr>
        <w:t>erint a sajtó tudósíthat plenáris és bizottsági ülésekről.</w:t>
      </w:r>
    </w:p>
    <w:p w:rsidR="005A7438" w:rsidRPr="00F6746F" w:rsidRDefault="00A75A07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Annak érdekében, hogy a parlamenti jog európai szintű tendenciáit megvilágíthassuk, megvizsgáltuk a legfontosabb európai jogrendszereket: milyen körben és milyen indokok alapján teszik lehetővé a parlamenti nyilvánosság valamely aspektusának korlátozását. E</w:t>
      </w:r>
      <w:r w:rsidR="005A7438" w:rsidRPr="00F6746F">
        <w:rPr>
          <w:rFonts w:ascii="Times New Roman" w:hAnsi="Times New Roman" w:cs="Times New Roman"/>
          <w:sz w:val="24"/>
          <w:szCs w:val="24"/>
        </w:rPr>
        <w:t>z alapján dolgoztunk ki egy hat pontból álló szempontrendszert, mely iránymutatás lehet a nemzeti, illetve nemzetközi jogalkotó és igazságszolgáltató szervek számára egyaránt.</w:t>
      </w:r>
    </w:p>
    <w:p w:rsidR="005A7438" w:rsidRPr="00F6746F" w:rsidRDefault="005A7438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lastRenderedPageBreak/>
        <w:t>Vizsgálatunk eredményeként arra a következtetésre jutottunk, hogy a parlamentek</w:t>
      </w:r>
      <w:r w:rsidR="00066876" w:rsidRPr="00F6746F">
        <w:rPr>
          <w:rFonts w:ascii="Times New Roman" w:hAnsi="Times New Roman" w:cs="Times New Roman"/>
          <w:sz w:val="24"/>
          <w:szCs w:val="24"/>
        </w:rPr>
        <w:t xml:space="preserve"> és a tár</w:t>
      </w:r>
      <w:r w:rsidR="00F6746F">
        <w:rPr>
          <w:rFonts w:ascii="Times New Roman" w:hAnsi="Times New Roman" w:cs="Times New Roman"/>
          <w:sz w:val="24"/>
          <w:szCs w:val="24"/>
        </w:rPr>
        <w:t>sadalom közti szakadék</w:t>
      </w:r>
      <w:r w:rsidR="00066876" w:rsidRPr="00F6746F">
        <w:rPr>
          <w:rFonts w:ascii="Times New Roman" w:hAnsi="Times New Roman" w:cs="Times New Roman"/>
          <w:sz w:val="24"/>
          <w:szCs w:val="24"/>
        </w:rPr>
        <w:t xml:space="preserve"> </w:t>
      </w:r>
      <w:r w:rsidRPr="00F6746F">
        <w:rPr>
          <w:rFonts w:ascii="Times New Roman" w:hAnsi="Times New Roman" w:cs="Times New Roman"/>
          <w:sz w:val="24"/>
          <w:szCs w:val="24"/>
        </w:rPr>
        <w:t>mérséklésére szükség lehet új jogintézmények meghonosítására az európai jogrendszerekben. Felvázoltuk a parlamenti ülnökök, a napi</w:t>
      </w:r>
      <w:r w:rsidR="00F6746F">
        <w:rPr>
          <w:rFonts w:ascii="Times New Roman" w:hAnsi="Times New Roman" w:cs="Times New Roman"/>
          <w:sz w:val="24"/>
          <w:szCs w:val="24"/>
        </w:rPr>
        <w:t xml:space="preserve"> </w:t>
      </w:r>
      <w:r w:rsidRPr="00F6746F">
        <w:rPr>
          <w:rFonts w:ascii="Times New Roman" w:hAnsi="Times New Roman" w:cs="Times New Roman"/>
          <w:sz w:val="24"/>
          <w:szCs w:val="24"/>
        </w:rPr>
        <w:t>szintű félórás parlamenti összefoglalók, az azonnali parlamenti visszacsatolások, valamint a szinte korlátlan parlamenti sajtónyilvánosság rendszerének alapjait.</w:t>
      </w:r>
    </w:p>
    <w:p w:rsidR="00066876" w:rsidRPr="00F6746F" w:rsidRDefault="00066876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Összességében mind a konferencián és a közgyűlésen történő részvétel, mind az előadás megtartása, mind a többi hozzászólás figyelemmel követése maradandó élményt jelentett, mely sokban hozzájárul szakmai fejlődésünkhöz, illetve angol- és francia szaknyelvi tudásunk fejlesztéséhez. Emellett Orleans városának megismerése és feltérképezése is emlékezetes marad: ez a több, mint két évezredes múltra visszatekintő város számos érdekes látnivalót kínál.</w:t>
      </w:r>
    </w:p>
    <w:p w:rsidR="002B2EE7" w:rsidRPr="00F6746F" w:rsidRDefault="002B2EE7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022" w:rsidRPr="00F6746F" w:rsidRDefault="00A75A07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46F">
        <w:rPr>
          <w:rFonts w:ascii="Times New Roman" w:hAnsi="Times New Roman" w:cs="Times New Roman"/>
          <w:sz w:val="24"/>
          <w:szCs w:val="24"/>
        </w:rPr>
        <w:t>Budapest, 2017. december</w:t>
      </w:r>
    </w:p>
    <w:p w:rsidR="00B37022" w:rsidRPr="00F6746F" w:rsidRDefault="00B37022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022" w:rsidRPr="00F6746F" w:rsidRDefault="00B37022" w:rsidP="00F67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7022" w:rsidRPr="00F6746F" w:rsidSect="001E62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00" w:rsidRDefault="00DA2100" w:rsidP="00F6746F">
      <w:pPr>
        <w:spacing w:after="0" w:line="240" w:lineRule="auto"/>
      </w:pPr>
      <w:r>
        <w:separator/>
      </w:r>
    </w:p>
  </w:endnote>
  <w:endnote w:type="continuationSeparator" w:id="0">
    <w:p w:rsidR="00DA2100" w:rsidRDefault="00DA2100" w:rsidP="00F67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376"/>
      <w:docPartObj>
        <w:docPartGallery w:val="Page Numbers (Bottom of Page)"/>
        <w:docPartUnique/>
      </w:docPartObj>
    </w:sdtPr>
    <w:sdtEndPr/>
    <w:sdtContent>
      <w:p w:rsidR="00F6746F" w:rsidRDefault="007A6AE0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746F" w:rsidRDefault="00F6746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00" w:rsidRDefault="00DA2100" w:rsidP="00F6746F">
      <w:pPr>
        <w:spacing w:after="0" w:line="240" w:lineRule="auto"/>
      </w:pPr>
      <w:r>
        <w:separator/>
      </w:r>
    </w:p>
  </w:footnote>
  <w:footnote w:type="continuationSeparator" w:id="0">
    <w:p w:rsidR="00DA2100" w:rsidRDefault="00DA2100" w:rsidP="00F67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22"/>
    <w:rsid w:val="00066876"/>
    <w:rsid w:val="00131DB9"/>
    <w:rsid w:val="001E6291"/>
    <w:rsid w:val="002B2EE7"/>
    <w:rsid w:val="004F17E2"/>
    <w:rsid w:val="005A7438"/>
    <w:rsid w:val="005E59BA"/>
    <w:rsid w:val="007A6AE0"/>
    <w:rsid w:val="008617D8"/>
    <w:rsid w:val="008934CD"/>
    <w:rsid w:val="00A75A07"/>
    <w:rsid w:val="00B37022"/>
    <w:rsid w:val="00C610CC"/>
    <w:rsid w:val="00C63DAF"/>
    <w:rsid w:val="00D162A2"/>
    <w:rsid w:val="00DA2100"/>
    <w:rsid w:val="00EA6D7C"/>
    <w:rsid w:val="00EB0977"/>
    <w:rsid w:val="00F6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F6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6746F"/>
  </w:style>
  <w:style w:type="paragraph" w:styleId="llb">
    <w:name w:val="footer"/>
    <w:basedOn w:val="Norml"/>
    <w:link w:val="llbChar"/>
    <w:uiPriority w:val="99"/>
    <w:unhideWhenUsed/>
    <w:rsid w:val="00F6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74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F6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6746F"/>
  </w:style>
  <w:style w:type="paragraph" w:styleId="llb">
    <w:name w:val="footer"/>
    <w:basedOn w:val="Norml"/>
    <w:link w:val="llbChar"/>
    <w:uiPriority w:val="99"/>
    <w:unhideWhenUsed/>
    <w:rsid w:val="00F6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2482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</dc:creator>
  <cp:lastModifiedBy>Megyesi Janka</cp:lastModifiedBy>
  <cp:revision>2</cp:revision>
  <dcterms:created xsi:type="dcterms:W3CDTF">2018-09-06T07:28:00Z</dcterms:created>
  <dcterms:modified xsi:type="dcterms:W3CDTF">2018-09-06T07:28:00Z</dcterms:modified>
</cp:coreProperties>
</file>